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DA" w:rsidRDefault="00C906DA" w:rsidP="00347E4D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/>
          <w:color w:val="auto"/>
          <w:kern w:val="16"/>
          <w:sz w:val="22"/>
          <w:szCs w:val="22"/>
          <w:lang w:val="hr-HR" w:eastAsia="hr-HR"/>
        </w:rPr>
      </w:pPr>
    </w:p>
    <w:p w:rsidR="00054E4E" w:rsidRPr="00054E4E" w:rsidRDefault="002E6F1A" w:rsidP="00054E4E">
      <w:pPr>
        <w:numPr>
          <w:ilvl w:val="0"/>
          <w:numId w:val="4"/>
        </w:numPr>
        <w:jc w:val="both"/>
        <w:rPr>
          <w:b/>
          <w:i/>
          <w:color w:val="0000FF"/>
          <w:sz w:val="28"/>
          <w:szCs w:val="28"/>
          <w:u w:val="single"/>
          <w:lang w:val="hr-HR"/>
        </w:rPr>
      </w:pPr>
      <w:r>
        <w:rPr>
          <w:b/>
          <w:i/>
          <w:color w:val="0000FF"/>
          <w:sz w:val="28"/>
          <w:szCs w:val="28"/>
          <w:u w:val="single"/>
          <w:lang w:val="hr-HR"/>
        </w:rPr>
        <w:t>Produljenje roka</w:t>
      </w:r>
      <w:r w:rsidR="00054E4E" w:rsidRPr="00054E4E">
        <w:rPr>
          <w:b/>
          <w:i/>
          <w:color w:val="0000FF"/>
          <w:sz w:val="28"/>
          <w:szCs w:val="28"/>
          <w:u w:val="single"/>
          <w:lang w:val="hr-HR"/>
        </w:rPr>
        <w:t xml:space="preserve"> za predmet nabave: </w:t>
      </w:r>
      <w:r>
        <w:rPr>
          <w:b/>
          <w:i/>
          <w:color w:val="0000FF"/>
          <w:sz w:val="28"/>
          <w:szCs w:val="28"/>
          <w:u w:val="single"/>
          <w:lang w:val="hr-HR"/>
        </w:rPr>
        <w:t>Građevinsko obrtnički radovi na uređenju skladišta na Centralnoj tržnici</w:t>
      </w:r>
      <w:r w:rsidR="00054E4E" w:rsidRPr="00054E4E">
        <w:rPr>
          <w:b/>
          <w:i/>
          <w:color w:val="0000FF"/>
          <w:sz w:val="28"/>
          <w:szCs w:val="28"/>
          <w:u w:val="single"/>
          <w:lang w:val="hr-HR"/>
        </w:rPr>
        <w:t>, ev.br. PN-</w:t>
      </w:r>
      <w:r>
        <w:rPr>
          <w:b/>
          <w:i/>
          <w:color w:val="0000FF"/>
          <w:sz w:val="28"/>
          <w:szCs w:val="28"/>
          <w:u w:val="single"/>
          <w:lang w:val="hr-HR"/>
        </w:rPr>
        <w:t>5958</w:t>
      </w:r>
      <w:r w:rsidR="00054E4E" w:rsidRPr="00054E4E">
        <w:rPr>
          <w:b/>
          <w:i/>
          <w:color w:val="0000FF"/>
          <w:sz w:val="28"/>
          <w:szCs w:val="28"/>
          <w:u w:val="single"/>
          <w:lang w:val="hr-HR"/>
        </w:rPr>
        <w:t xml:space="preserve"> </w:t>
      </w:r>
    </w:p>
    <w:p w:rsidR="00054E4E" w:rsidRPr="00054E4E" w:rsidRDefault="00054E4E" w:rsidP="00054E4E">
      <w:pPr>
        <w:ind w:left="720"/>
        <w:jc w:val="both"/>
        <w:rPr>
          <w:b/>
          <w:i/>
          <w:sz w:val="24"/>
          <w:szCs w:val="24"/>
          <w:u w:val="single"/>
          <w:lang w:val="hr-HR"/>
        </w:rPr>
      </w:pPr>
    </w:p>
    <w:p w:rsidR="00054E4E" w:rsidRPr="00054E4E" w:rsidRDefault="00054E4E" w:rsidP="00054E4E">
      <w:pPr>
        <w:jc w:val="both"/>
        <w:rPr>
          <w:b/>
          <w:sz w:val="22"/>
          <w:szCs w:val="22"/>
          <w:lang w:val="hr-HR"/>
        </w:rPr>
      </w:pPr>
    </w:p>
    <w:p w:rsidR="00054E4E" w:rsidRPr="00054E4E" w:rsidRDefault="00054E4E" w:rsidP="00054E4E">
      <w:pPr>
        <w:jc w:val="both"/>
        <w:rPr>
          <w:rFonts w:cs="Arial"/>
          <w:sz w:val="22"/>
          <w:szCs w:val="22"/>
        </w:rPr>
      </w:pPr>
      <w:r w:rsidRPr="00054E4E">
        <w:rPr>
          <w:rFonts w:cs="Arial"/>
          <w:sz w:val="22"/>
          <w:szCs w:val="22"/>
        </w:rPr>
        <w:t>Poštovani,</w:t>
      </w:r>
    </w:p>
    <w:p w:rsidR="002E6F1A" w:rsidRDefault="002E6F1A" w:rsidP="00054E4E">
      <w:pPr>
        <w:jc w:val="both"/>
        <w:rPr>
          <w:sz w:val="22"/>
          <w:szCs w:val="22"/>
        </w:rPr>
      </w:pPr>
      <w:r>
        <w:rPr>
          <w:sz w:val="22"/>
          <w:szCs w:val="22"/>
        </w:rPr>
        <w:t>u roku definiranom za dostavu ponuda za iznad navedeni predmet nabave dana 08. kolovoza 2019. godine nije zaprimljena niti jedna ponuda.</w:t>
      </w:r>
    </w:p>
    <w:p w:rsidR="00054E4E" w:rsidRPr="00054E4E" w:rsidRDefault="002E6F1A" w:rsidP="00054E4E">
      <w:pPr>
        <w:jc w:val="both"/>
        <w:rPr>
          <w:rFonts w:ascii="Calibri" w:hAnsi="Calibri"/>
          <w:kern w:val="0"/>
          <w:sz w:val="22"/>
          <w:szCs w:val="22"/>
          <w:lang w:val="hr-HR"/>
        </w:rPr>
      </w:pPr>
      <w:r>
        <w:rPr>
          <w:sz w:val="22"/>
          <w:szCs w:val="22"/>
        </w:rPr>
        <w:t>Nastavno na ispred navedeno produljuje se rok za dostavu ponuda na 26. kolovoza 2019. godine u 12:00 sati. Ostali uvjeti iz Dokuemntacije o nabavi ostaju nepromijenjeni.</w:t>
      </w:r>
      <w:r w:rsidR="00054E4E" w:rsidRPr="00054E4E">
        <w:rPr>
          <w:sz w:val="22"/>
          <w:szCs w:val="22"/>
        </w:rPr>
        <w:t xml:space="preserve"> </w:t>
      </w:r>
    </w:p>
    <w:p w:rsidR="00054E4E" w:rsidRPr="00054E4E" w:rsidRDefault="00054E4E" w:rsidP="00054E4E">
      <w:pPr>
        <w:jc w:val="both"/>
        <w:rPr>
          <w:sz w:val="22"/>
          <w:szCs w:val="22"/>
          <w:lang w:val="hr-HR"/>
        </w:rPr>
      </w:pPr>
    </w:p>
    <w:p w:rsidR="00054E4E" w:rsidRPr="00054E4E" w:rsidRDefault="00054E4E" w:rsidP="00054E4E">
      <w:pPr>
        <w:ind w:firstLine="720"/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054E4E" w:rsidRPr="00054E4E" w:rsidRDefault="00054E4E" w:rsidP="00054E4E">
      <w:pPr>
        <w:ind w:firstLine="720"/>
        <w:jc w:val="both"/>
        <w:rPr>
          <w:sz w:val="22"/>
          <w:szCs w:val="22"/>
          <w:lang w:val="hr-HR"/>
        </w:rPr>
      </w:pPr>
      <w:r w:rsidRPr="00054E4E">
        <w:rPr>
          <w:sz w:val="22"/>
          <w:szCs w:val="22"/>
          <w:lang w:val="hr-HR"/>
        </w:rPr>
        <w:t xml:space="preserve">U Rijeci, </w:t>
      </w:r>
      <w:r w:rsidR="002E6F1A">
        <w:rPr>
          <w:sz w:val="22"/>
          <w:szCs w:val="22"/>
          <w:lang w:val="hr-HR"/>
        </w:rPr>
        <w:t>12</w:t>
      </w:r>
      <w:r w:rsidRPr="00054E4E">
        <w:rPr>
          <w:sz w:val="22"/>
          <w:szCs w:val="22"/>
          <w:lang w:val="hr-HR"/>
        </w:rPr>
        <w:t>.0</w:t>
      </w:r>
      <w:r w:rsidR="002E6F1A">
        <w:rPr>
          <w:sz w:val="22"/>
          <w:szCs w:val="22"/>
          <w:lang w:val="hr-HR"/>
        </w:rPr>
        <w:t>8</w:t>
      </w:r>
      <w:r w:rsidRPr="00054E4E">
        <w:rPr>
          <w:sz w:val="22"/>
          <w:szCs w:val="22"/>
          <w:lang w:val="hr-HR"/>
        </w:rPr>
        <w:t xml:space="preserve">.2019.     </w:t>
      </w:r>
    </w:p>
    <w:p w:rsidR="00347E4D" w:rsidRPr="00347E4D" w:rsidRDefault="00347E4D" w:rsidP="00347E4D">
      <w:pPr>
        <w:pStyle w:val="BodyText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sectPr w:rsidR="00347E4D" w:rsidRPr="00347E4D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29" w:rsidRDefault="00492B29">
      <w:r>
        <w:separator/>
      </w:r>
    </w:p>
  </w:endnote>
  <w:endnote w:type="continuationSeparator" w:id="0">
    <w:p w:rsidR="00492B29" w:rsidRDefault="0049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:rsidR="0013373A" w:rsidRPr="009C0964" w:rsidRDefault="002E6F1A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:rsidR="0013373A" w:rsidRPr="009C0964" w:rsidRDefault="002E6F1A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:rsidR="0013373A" w:rsidRPr="009C0964" w:rsidRDefault="002E6F1A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:rsidR="0013373A" w:rsidRPr="009C0964" w:rsidRDefault="002E6F1A" w:rsidP="00745223">
          <w:pPr>
            <w:pStyle w:val="Footer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:rsidTr="009C0964">
      <w:tc>
        <w:tcPr>
          <w:tcW w:w="1951" w:type="dxa"/>
          <w:vAlign w:val="center"/>
        </w:tcPr>
        <w:p w:rsidR="00AB791C" w:rsidRPr="00027219" w:rsidRDefault="00AB791C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:rsidR="00AB791C" w:rsidRPr="00027219" w:rsidRDefault="00C906DA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:rsidR="00AB791C" w:rsidRPr="00027219" w:rsidRDefault="00C906DA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:rsidR="00AB791C" w:rsidRPr="00027219" w:rsidRDefault="00AB791C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13373A" w:rsidRPr="00027219" w:rsidRDefault="008E4CA7" w:rsidP="00A05375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Društvo upisano u registar Trgovačkog suda u Rijeci pod brojem Tt-18/7602-3,Temeljni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23.253.700,00 kn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2E6F1A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:rsidR="0013373A" w:rsidRPr="00027219" w:rsidRDefault="008E4CA7" w:rsidP="00745223">
          <w:pPr>
            <w:pStyle w:val="Header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:rsidR="0013373A" w:rsidRPr="00E9575A" w:rsidRDefault="002E6F1A" w:rsidP="008C444F">
    <w:pPr>
      <w:pStyle w:val="Header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456C5D">
                <w:pPr>
                  <w:pStyle w:val="Footer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8E4CA7" w:rsidRPr="00456C5D">
                    <w:rPr>
                      <w:rStyle w:val="Hyperlink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8E4CA7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2E6F1A" w:rsidP="00C56212">
                <w:pPr>
                  <w:pStyle w:val="Footer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:rsidR="0013373A" w:rsidRPr="007E2C8A" w:rsidRDefault="002E6F1A" w:rsidP="00C56212">
          <w:pPr>
            <w:pStyle w:val="Footer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:rsidR="0013373A" w:rsidRDefault="002E6F1A" w:rsidP="0079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29" w:rsidRDefault="00492B29">
      <w:r>
        <w:separator/>
      </w:r>
    </w:p>
  </w:footnote>
  <w:footnote w:type="continuationSeparator" w:id="0">
    <w:p w:rsidR="00492B29" w:rsidRDefault="0049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Default="008E4CA7">
    <w:pPr>
      <w:pStyle w:val="Header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59AB0F88" wp14:editId="127FC82C">
          <wp:extent cx="2409825" cy="857250"/>
          <wp:effectExtent l="0" t="0" r="952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73A" w:rsidRPr="003F5CB0" w:rsidRDefault="008E4CA7" w:rsidP="00A56404">
    <w:pPr>
      <w:pStyle w:val="Header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:rsidR="0013373A" w:rsidRPr="003F5CB0" w:rsidRDefault="008E4CA7" w:rsidP="00A56404">
    <w:pPr>
      <w:pStyle w:val="Header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Pr="003C75E7" w:rsidRDefault="008E4CA7" w:rsidP="003C75E7">
    <w:pPr>
      <w:pStyle w:val="Header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2F0BD0" wp14:editId="66E4FD82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DE40FC" wp14:editId="5E6FFECD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6A"/>
    <w:multiLevelType w:val="hybridMultilevel"/>
    <w:tmpl w:val="576C1E3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5805EF1"/>
    <w:multiLevelType w:val="hybridMultilevel"/>
    <w:tmpl w:val="CDB2E168"/>
    <w:lvl w:ilvl="0" w:tplc="2028056C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000099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99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050DF"/>
    <w:multiLevelType w:val="hybridMultilevel"/>
    <w:tmpl w:val="91389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6D17"/>
    <w:multiLevelType w:val="hybridMultilevel"/>
    <w:tmpl w:val="B636B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010BF"/>
    <w:multiLevelType w:val="hybridMultilevel"/>
    <w:tmpl w:val="4872A6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067F86"/>
    <w:multiLevelType w:val="singleLevel"/>
    <w:tmpl w:val="2E6C60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645837"/>
    <w:multiLevelType w:val="hybridMultilevel"/>
    <w:tmpl w:val="00D89840"/>
    <w:lvl w:ilvl="0" w:tplc="722ECA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F26448"/>
    <w:multiLevelType w:val="hybridMultilevel"/>
    <w:tmpl w:val="EC841210"/>
    <w:lvl w:ilvl="0" w:tplc="49B8A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A7"/>
    <w:rsid w:val="00054E4E"/>
    <w:rsid w:val="000D2806"/>
    <w:rsid w:val="001E5EB9"/>
    <w:rsid w:val="002E1FD0"/>
    <w:rsid w:val="002E6F1A"/>
    <w:rsid w:val="00347E4D"/>
    <w:rsid w:val="003922FC"/>
    <w:rsid w:val="003A59AC"/>
    <w:rsid w:val="0048320B"/>
    <w:rsid w:val="00492B29"/>
    <w:rsid w:val="004C335B"/>
    <w:rsid w:val="007D0D59"/>
    <w:rsid w:val="008E4CA7"/>
    <w:rsid w:val="00A654B3"/>
    <w:rsid w:val="00AB791C"/>
    <w:rsid w:val="00B05364"/>
    <w:rsid w:val="00B57981"/>
    <w:rsid w:val="00B84F20"/>
    <w:rsid w:val="00C906DA"/>
    <w:rsid w:val="00D036E6"/>
    <w:rsid w:val="00DA0B71"/>
    <w:rsid w:val="00D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4A05C3F"/>
  <w15:chartTrackingRefBased/>
  <w15:docId w15:val="{BF28B24B-F07C-4159-B661-DF4F705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CA7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4CA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E4CA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rsid w:val="008E4CA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8E4CA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yperlink">
    <w:name w:val="Hyperlink"/>
    <w:rsid w:val="008E4CA7"/>
    <w:rPr>
      <w:color w:val="0000FF"/>
      <w:u w:val="single"/>
    </w:rPr>
  </w:style>
  <w:style w:type="paragraph" w:styleId="BodyText">
    <w:name w:val="Body Text"/>
    <w:basedOn w:val="Normal"/>
    <w:link w:val="BodyTextChar"/>
    <w:rsid w:val="00347E4D"/>
    <w:pPr>
      <w:spacing w:line="240" w:lineRule="atLeast"/>
    </w:pPr>
    <w:rPr>
      <w:rFonts w:ascii="Times New Roman" w:hAnsi="Times New Roman"/>
      <w:color w:val="000000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47E4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FootnoteReference">
    <w:name w:val="footnote reference"/>
    <w:semiHidden/>
    <w:rsid w:val="00347E4D"/>
    <w:rPr>
      <w:vertAlign w:val="superscript"/>
    </w:rPr>
  </w:style>
  <w:style w:type="paragraph" w:styleId="BodyText2">
    <w:name w:val="Body Text 2"/>
    <w:basedOn w:val="Normal"/>
    <w:link w:val="BodyText2Char"/>
    <w:rsid w:val="00347E4D"/>
    <w:rPr>
      <w:rFonts w:ascii="Times New Roman" w:hAnsi="Times New Roman"/>
      <w:kern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47E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B3"/>
    <w:rPr>
      <w:rFonts w:ascii="Segoe UI" w:eastAsia="Times New Roman" w:hAnsi="Segoe UI" w:cs="Segoe UI"/>
      <w:kern w:val="16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Brlić Stjepan</cp:lastModifiedBy>
  <cp:revision>2</cp:revision>
  <cp:lastPrinted>2019-07-10T07:49:00Z</cp:lastPrinted>
  <dcterms:created xsi:type="dcterms:W3CDTF">2019-08-12T09:48:00Z</dcterms:created>
  <dcterms:modified xsi:type="dcterms:W3CDTF">2019-08-12T09:48:00Z</dcterms:modified>
</cp:coreProperties>
</file>